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DF" w:rsidRPr="0012231B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Омский сельсовет»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Ненецкий автономный округ 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F00DDA">
        <w:rPr>
          <w:rFonts w:ascii="Times New Roman" w:hAnsi="Times New Roman" w:cs="Times New Roman"/>
          <w:sz w:val="24"/>
          <w:szCs w:val="24"/>
        </w:rPr>
        <w:t>ЕНИЕ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EC7C14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 </w:t>
      </w:r>
      <w:r w:rsidR="00B551DC">
        <w:rPr>
          <w:rFonts w:ascii="Times New Roman" w:hAnsi="Times New Roman"/>
          <w:b/>
          <w:sz w:val="24"/>
          <w:szCs w:val="24"/>
          <w:u w:val="single"/>
        </w:rPr>
        <w:t>30</w:t>
      </w:r>
      <w:r w:rsidR="00677D8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551D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B117DF" w:rsidRPr="00600E0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A4C11">
        <w:rPr>
          <w:rFonts w:ascii="Times New Roman" w:hAnsi="Times New Roman"/>
          <w:b/>
          <w:sz w:val="24"/>
          <w:szCs w:val="24"/>
          <w:u w:val="single"/>
        </w:rPr>
        <w:t>201</w:t>
      </w:r>
      <w:r w:rsidR="00B551DC">
        <w:rPr>
          <w:rFonts w:ascii="Times New Roman" w:hAnsi="Times New Roman"/>
          <w:b/>
          <w:sz w:val="24"/>
          <w:szCs w:val="24"/>
          <w:u w:val="single"/>
        </w:rPr>
        <w:t>9</w:t>
      </w:r>
      <w:r w:rsidR="008A4C11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  <w:r w:rsidR="009B1E35">
        <w:rPr>
          <w:rFonts w:ascii="Times New Roman" w:hAnsi="Times New Roman"/>
          <w:b/>
          <w:sz w:val="24"/>
          <w:szCs w:val="24"/>
          <w:u w:val="single"/>
        </w:rPr>
        <w:t xml:space="preserve">ода  № </w:t>
      </w:r>
      <w:r w:rsidR="00AC7CD5">
        <w:rPr>
          <w:rFonts w:ascii="Times New Roman" w:hAnsi="Times New Roman"/>
          <w:b/>
          <w:sz w:val="24"/>
          <w:szCs w:val="24"/>
          <w:u w:val="single"/>
        </w:rPr>
        <w:t>84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600E05">
        <w:rPr>
          <w:rFonts w:ascii="Times New Roman" w:hAnsi="Times New Roman"/>
          <w:sz w:val="20"/>
          <w:szCs w:val="20"/>
        </w:rPr>
        <w:t xml:space="preserve">с. Ома, Ненецкий автономный округ </w:t>
      </w:r>
    </w:p>
    <w:p w:rsidR="00B117DF" w:rsidRPr="00600E05" w:rsidRDefault="00B117DF" w:rsidP="007E64E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B117DF" w:rsidRPr="007E64E6" w:rsidRDefault="00B551DC" w:rsidP="006611CB">
      <w:pPr>
        <w:pStyle w:val="a3"/>
        <w:spacing w:after="0"/>
        <w:ind w:left="0"/>
        <w:jc w:val="both"/>
        <w:rPr>
          <w:rFonts w:ascii="Times New Roman" w:hAnsi="Times New Roman"/>
          <w:lang w:eastAsia="ru-RU"/>
        </w:rPr>
      </w:pPr>
      <w:r w:rsidRPr="007E64E6">
        <w:rPr>
          <w:rFonts w:ascii="Times New Roman" w:hAnsi="Times New Roman"/>
          <w:lang w:eastAsia="ru-RU"/>
        </w:rPr>
        <w:t>О внесении дополнений в Положение об учетной политике</w:t>
      </w:r>
    </w:p>
    <w:p w:rsidR="00B551DC" w:rsidRPr="007E64E6" w:rsidRDefault="00B551DC" w:rsidP="006611CB">
      <w:pPr>
        <w:pStyle w:val="a3"/>
        <w:spacing w:after="0"/>
        <w:ind w:left="0"/>
        <w:jc w:val="both"/>
        <w:rPr>
          <w:rFonts w:ascii="Times New Roman" w:hAnsi="Times New Roman"/>
          <w:lang w:eastAsia="ru-RU"/>
        </w:rPr>
      </w:pPr>
      <w:r w:rsidRPr="007E64E6">
        <w:rPr>
          <w:rFonts w:ascii="Times New Roman" w:hAnsi="Times New Roman"/>
          <w:lang w:eastAsia="ru-RU"/>
        </w:rPr>
        <w:t>Администрации МО «Омский сельсовет» НАО</w:t>
      </w:r>
    </w:p>
    <w:p w:rsidR="00B551DC" w:rsidRPr="007E64E6" w:rsidRDefault="000D1A1C" w:rsidP="006611CB">
      <w:pPr>
        <w:pStyle w:val="a3"/>
        <w:spacing w:after="0"/>
        <w:ind w:left="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</w:t>
      </w:r>
      <w:r w:rsidR="00B551DC" w:rsidRPr="007E64E6">
        <w:rPr>
          <w:rFonts w:ascii="Times New Roman" w:hAnsi="Times New Roman"/>
          <w:lang w:eastAsia="ru-RU"/>
        </w:rPr>
        <w:t>твержденного постановлением Администрации МО</w:t>
      </w:r>
    </w:p>
    <w:p w:rsidR="00B551DC" w:rsidRPr="007E64E6" w:rsidRDefault="00B551DC" w:rsidP="006611CB">
      <w:pPr>
        <w:pStyle w:val="a3"/>
        <w:spacing w:after="0"/>
        <w:ind w:left="0"/>
        <w:jc w:val="both"/>
        <w:rPr>
          <w:rFonts w:ascii="Times New Roman" w:hAnsi="Times New Roman"/>
          <w:lang w:eastAsia="ru-RU"/>
        </w:rPr>
      </w:pPr>
      <w:r w:rsidRPr="007E64E6">
        <w:rPr>
          <w:rFonts w:ascii="Times New Roman" w:hAnsi="Times New Roman"/>
          <w:lang w:eastAsia="ru-RU"/>
        </w:rPr>
        <w:t xml:space="preserve">«Омский сельсовет» НАО от </w:t>
      </w:r>
      <w:r w:rsidR="00A00A71" w:rsidRPr="007E64E6">
        <w:rPr>
          <w:rFonts w:ascii="Times New Roman" w:hAnsi="Times New Roman"/>
          <w:lang w:eastAsia="ru-RU"/>
        </w:rPr>
        <w:t>28 декабря 2018 года № 130</w:t>
      </w:r>
    </w:p>
    <w:p w:rsidR="007E64E6" w:rsidRPr="00B551DC" w:rsidRDefault="007E64E6" w:rsidP="007E64E6">
      <w:pPr>
        <w:pStyle w:val="a3"/>
        <w:spacing w:after="0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B117DF" w:rsidRDefault="00B117DF" w:rsidP="006611C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</w:t>
      </w:r>
      <w:r w:rsidR="007E01A5">
        <w:rPr>
          <w:rFonts w:ascii="Times New Roman" w:hAnsi="Times New Roman"/>
          <w:sz w:val="24"/>
          <w:szCs w:val="24"/>
          <w:lang w:eastAsia="ru-RU"/>
        </w:rPr>
        <w:t xml:space="preserve">с Федеральным законом от 06.12.2011 г. № 402-ФЗ «О бухгалтерском учете», Бюджетным Кодексом РФ, </w:t>
      </w:r>
      <w:r w:rsidR="006F5515">
        <w:rPr>
          <w:rFonts w:ascii="Times New Roman" w:hAnsi="Times New Roman"/>
          <w:sz w:val="24"/>
          <w:szCs w:val="24"/>
          <w:lang w:eastAsia="ru-RU"/>
        </w:rPr>
        <w:t xml:space="preserve">приказом Министерства Финансов Российской Федерации от 01.12.2010 г. № 157н, «План счетов и Инструкция по его применению в сфере ведения бюджетного учета», утвержденных приказом Министерства Финансов Российской Федерации от 06.12.2010 г. № 162н, положениями Налогового кодекса РФ, </w:t>
      </w:r>
      <w:r w:rsidR="00D8511B">
        <w:rPr>
          <w:rFonts w:ascii="Times New Roman" w:hAnsi="Times New Roman"/>
          <w:sz w:val="24"/>
          <w:szCs w:val="24"/>
          <w:lang w:eastAsia="ru-RU"/>
        </w:rPr>
        <w:t>Приказом</w:t>
      </w:r>
      <w:proofErr w:type="gramEnd"/>
      <w:r w:rsidR="00D8511B">
        <w:rPr>
          <w:rFonts w:ascii="Times New Roman" w:hAnsi="Times New Roman"/>
          <w:sz w:val="24"/>
          <w:szCs w:val="24"/>
          <w:lang w:eastAsia="ru-RU"/>
        </w:rPr>
        <w:t xml:space="preserve"> Минфина России от 28.12.2010 № 191н, федеральными стандартами бухгалтерского учета для организаций государственного сектора </w:t>
      </w:r>
      <w:r w:rsidR="006F5515">
        <w:rPr>
          <w:rFonts w:ascii="Times New Roman" w:hAnsi="Times New Roman"/>
          <w:sz w:val="24"/>
          <w:szCs w:val="24"/>
          <w:lang w:eastAsia="ru-RU"/>
        </w:rPr>
        <w:t xml:space="preserve">Администрация МО «Омский сельсовет» НАО </w:t>
      </w:r>
      <w:r w:rsidR="006F5515" w:rsidRPr="006F5515">
        <w:rPr>
          <w:rFonts w:ascii="Times New Roman" w:hAnsi="Times New Roman"/>
          <w:b/>
          <w:sz w:val="24"/>
          <w:szCs w:val="24"/>
          <w:lang w:eastAsia="ru-RU"/>
        </w:rPr>
        <w:t>ПОСТАНОВЛЯЕТ</w:t>
      </w:r>
      <w:r w:rsidR="006F5515">
        <w:rPr>
          <w:rFonts w:ascii="Times New Roman" w:hAnsi="Times New Roman"/>
          <w:sz w:val="24"/>
          <w:szCs w:val="24"/>
          <w:lang w:eastAsia="ru-RU"/>
        </w:rPr>
        <w:t>:</w:t>
      </w:r>
      <w:r w:rsidR="007E01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E64E6" w:rsidRPr="006611CB" w:rsidRDefault="007E64E6" w:rsidP="006611C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611CB">
        <w:rPr>
          <w:rFonts w:ascii="Times New Roman" w:hAnsi="Times New Roman"/>
          <w:sz w:val="24"/>
          <w:szCs w:val="24"/>
          <w:lang w:eastAsia="ru-RU"/>
        </w:rPr>
        <w:t>Внести прилагаемые дополнения в Положение об учетной политике Администрации МО «Омский сельсовет» НАО, утвержденное Администрацией МО «Омский сельсовет» НАО от 28.12.2018</w:t>
      </w:r>
      <w:r w:rsidR="00026EA4" w:rsidRPr="006611CB">
        <w:rPr>
          <w:rFonts w:ascii="Times New Roman" w:hAnsi="Times New Roman"/>
          <w:sz w:val="24"/>
          <w:szCs w:val="24"/>
          <w:lang w:eastAsia="ru-RU"/>
        </w:rPr>
        <w:t xml:space="preserve"> № 130.</w:t>
      </w:r>
    </w:p>
    <w:p w:rsidR="00342A79" w:rsidRDefault="00342A79" w:rsidP="006611C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Постановление № 130 от 28.12.2018 дополнить пунктом 5 следующего содержания:</w:t>
      </w:r>
    </w:p>
    <w:p w:rsidR="00B117DF" w:rsidRPr="00300C0B" w:rsidRDefault="00342A79" w:rsidP="006611CB">
      <w:pPr>
        <w:pStyle w:val="a3"/>
        <w:spacing w:after="0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«5</w:t>
      </w:r>
      <w:r w:rsidR="004C769A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Настоящее постановление разместить на официальном сайте </w:t>
      </w:r>
      <w:r w:rsidR="00300C0B">
        <w:rPr>
          <w:rFonts w:ascii="Times New Roman" w:hAnsi="Times New Roman"/>
          <w:sz w:val="24"/>
          <w:szCs w:val="24"/>
          <w:lang w:val="en-US" w:eastAsia="ru-RU"/>
        </w:rPr>
        <w:t>OMAHAO</w:t>
      </w:r>
      <w:r w:rsidR="00300C0B">
        <w:rPr>
          <w:rFonts w:ascii="Times New Roman" w:hAnsi="Times New Roman"/>
          <w:sz w:val="24"/>
          <w:szCs w:val="24"/>
          <w:lang w:eastAsia="ru-RU"/>
        </w:rPr>
        <w:t>.</w:t>
      </w:r>
      <w:r w:rsidR="00300C0B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6611CB">
        <w:rPr>
          <w:rFonts w:ascii="Times New Roman" w:hAnsi="Times New Roman"/>
          <w:sz w:val="24"/>
          <w:szCs w:val="24"/>
          <w:lang w:eastAsia="ru-RU"/>
        </w:rPr>
        <w:t>»</w:t>
      </w:r>
    </w:p>
    <w:p w:rsidR="00B117DF" w:rsidRPr="006611CB" w:rsidRDefault="004C769A" w:rsidP="006611C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611CB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6611CB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главного бухгалтера Администра</w:t>
      </w:r>
      <w:r w:rsidR="00140719" w:rsidRPr="006611CB">
        <w:rPr>
          <w:rFonts w:ascii="Times New Roman" w:hAnsi="Times New Roman"/>
          <w:sz w:val="24"/>
          <w:szCs w:val="24"/>
          <w:lang w:eastAsia="ru-RU"/>
        </w:rPr>
        <w:t>ции  МО «Омский сельсовет» НАО Михееву А.Н.</w:t>
      </w:r>
      <w:r w:rsidRPr="006611C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451B8" w:rsidRPr="006611CB" w:rsidRDefault="00300C0B" w:rsidP="006611C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611CB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с момента его подписания.</w:t>
      </w:r>
    </w:p>
    <w:p w:rsidR="00300C0B" w:rsidRPr="00F11C7D" w:rsidRDefault="00300C0B" w:rsidP="006611C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Настоящее постановление размест</w:t>
      </w:r>
      <w:r w:rsidR="006611CB">
        <w:rPr>
          <w:rFonts w:ascii="Times New Roman" w:hAnsi="Times New Roman"/>
          <w:sz w:val="24"/>
          <w:szCs w:val="24"/>
          <w:lang w:eastAsia="ru-RU"/>
        </w:rPr>
        <w:t>ить на официальном сайте OMAHAO.</w:t>
      </w:r>
      <w:r>
        <w:rPr>
          <w:rFonts w:ascii="Times New Roman" w:hAnsi="Times New Roman"/>
          <w:sz w:val="24"/>
          <w:szCs w:val="24"/>
          <w:lang w:eastAsia="ru-RU"/>
        </w:rPr>
        <w:t>R</w:t>
      </w:r>
      <w:r>
        <w:rPr>
          <w:rFonts w:ascii="Times New Roman" w:hAnsi="Times New Roman"/>
          <w:sz w:val="24"/>
          <w:szCs w:val="24"/>
          <w:lang w:val="en-US" w:eastAsia="ru-RU"/>
        </w:rPr>
        <w:t>U</w:t>
      </w:r>
    </w:p>
    <w:p w:rsidR="002F4759" w:rsidRPr="002F4759" w:rsidRDefault="002F4759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17DF" w:rsidRDefault="00B117DF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300C0B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00C0B">
        <w:rPr>
          <w:rFonts w:ascii="Times New Roman" w:hAnsi="Times New Roman"/>
          <w:sz w:val="24"/>
          <w:szCs w:val="24"/>
        </w:rPr>
        <w:t xml:space="preserve">Глава МО  «Омский сельсовет» НАО                            </w:t>
      </w:r>
      <w:r w:rsidR="002B50C6" w:rsidRPr="00300C0B">
        <w:rPr>
          <w:rFonts w:ascii="Times New Roman" w:hAnsi="Times New Roman"/>
          <w:sz w:val="24"/>
          <w:szCs w:val="24"/>
        </w:rPr>
        <w:t xml:space="preserve">                       Е.М. Михее</w:t>
      </w:r>
      <w:r w:rsidRPr="00300C0B">
        <w:rPr>
          <w:rFonts w:ascii="Times New Roman" w:hAnsi="Times New Roman"/>
          <w:sz w:val="24"/>
          <w:szCs w:val="24"/>
        </w:rPr>
        <w:t>ва</w:t>
      </w:r>
    </w:p>
    <w:p w:rsidR="006167F2" w:rsidRDefault="006167F2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1B55BD" w:rsidRDefault="001B55BD" w:rsidP="00300C0B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6611CB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611CB" w:rsidRDefault="006611C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B55BD" w:rsidRP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Приложение к </w:t>
      </w:r>
      <w:r w:rsidRPr="001B55BD">
        <w:rPr>
          <w:rFonts w:ascii="Times New Roman" w:hAnsi="Times New Roman"/>
          <w:sz w:val="24"/>
          <w:szCs w:val="24"/>
          <w:lang w:eastAsia="ru-RU"/>
        </w:rPr>
        <w:t>Постановлению Администрации</w:t>
      </w:r>
    </w:p>
    <w:p w:rsid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 «Омский сельсовет» НАО</w:t>
      </w:r>
    </w:p>
    <w:p w:rsidR="001B55BD" w:rsidRDefault="001B55BD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30.08.2019 № </w:t>
      </w:r>
      <w:r w:rsidR="00AC7CD5">
        <w:rPr>
          <w:rFonts w:ascii="Times New Roman" w:hAnsi="Times New Roman"/>
          <w:sz w:val="24"/>
          <w:szCs w:val="24"/>
          <w:lang w:eastAsia="ru-RU"/>
        </w:rPr>
        <w:t>84</w:t>
      </w:r>
    </w:p>
    <w:p w:rsidR="0001386B" w:rsidRDefault="0001386B" w:rsidP="001B55BD">
      <w:pPr>
        <w:pStyle w:val="a3"/>
        <w:ind w:left="0" w:firstLine="53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1386B" w:rsidRPr="0001386B" w:rsidRDefault="0001386B" w:rsidP="0001386B">
      <w:pPr>
        <w:pStyle w:val="a3"/>
        <w:ind w:left="0" w:firstLine="53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386B">
        <w:rPr>
          <w:rFonts w:ascii="Times New Roman" w:hAnsi="Times New Roman"/>
          <w:b/>
          <w:sz w:val="28"/>
          <w:szCs w:val="28"/>
          <w:lang w:eastAsia="ru-RU"/>
        </w:rPr>
        <w:t xml:space="preserve">Дополнения </w:t>
      </w:r>
      <w:proofErr w:type="gramStart"/>
      <w:r w:rsidRPr="0001386B">
        <w:rPr>
          <w:rFonts w:ascii="Times New Roman" w:hAnsi="Times New Roman"/>
          <w:b/>
          <w:sz w:val="28"/>
          <w:szCs w:val="28"/>
          <w:lang w:eastAsia="ru-RU"/>
        </w:rPr>
        <w:t>в</w:t>
      </w:r>
      <w:proofErr w:type="gramEnd"/>
    </w:p>
    <w:p w:rsidR="006611CB" w:rsidRDefault="0001386B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386B">
        <w:rPr>
          <w:rFonts w:ascii="Times New Roman" w:hAnsi="Times New Roman"/>
          <w:b/>
          <w:sz w:val="28"/>
          <w:szCs w:val="28"/>
          <w:lang w:eastAsia="ru-RU"/>
        </w:rPr>
        <w:t>Положение об учетной политике Администрац</w:t>
      </w:r>
      <w:r w:rsidR="00F11C7D">
        <w:rPr>
          <w:rFonts w:ascii="Times New Roman" w:hAnsi="Times New Roman"/>
          <w:b/>
          <w:sz w:val="28"/>
          <w:szCs w:val="28"/>
          <w:lang w:eastAsia="ru-RU"/>
        </w:rPr>
        <w:t xml:space="preserve">ии </w:t>
      </w:r>
    </w:p>
    <w:p w:rsidR="004127A5" w:rsidRDefault="00F11C7D" w:rsidP="006611CB">
      <w:pPr>
        <w:pStyle w:val="a3"/>
        <w:ind w:left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МО «Омский сельсовет» НАО</w:t>
      </w:r>
    </w:p>
    <w:p w:rsidR="00F11C7D" w:rsidRDefault="00F11C7D" w:rsidP="00F11C7D">
      <w:pPr>
        <w:pStyle w:val="a3"/>
        <w:ind w:left="0" w:firstLine="53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1C7D" w:rsidRPr="006611CB" w:rsidRDefault="00F11C7D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1.1 дополнить абзацами следующего содержания:</w:t>
      </w:r>
    </w:p>
    <w:p w:rsidR="00F11C7D" w:rsidRDefault="001200AD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611CB">
        <w:rPr>
          <w:rFonts w:ascii="Times New Roman" w:hAnsi="Times New Roman"/>
          <w:sz w:val="24"/>
          <w:szCs w:val="24"/>
          <w:lang w:eastAsia="ru-RU"/>
        </w:rPr>
        <w:t>«</w:t>
      </w:r>
      <w:r w:rsidR="00F11C7D">
        <w:rPr>
          <w:rFonts w:ascii="Times New Roman" w:hAnsi="Times New Roman"/>
          <w:sz w:val="24"/>
          <w:szCs w:val="24"/>
          <w:lang w:eastAsia="ru-RU"/>
        </w:rPr>
        <w:t>Федеральными стандартами бухгалтерского учета для организаций государственного сектора, утвержденными приказами Минфина России от 31 декабря  2016 года № 257н,  №258н, № 259н,</w:t>
      </w:r>
      <w:r w:rsidR="00085721">
        <w:rPr>
          <w:rFonts w:ascii="Times New Roman" w:hAnsi="Times New Roman"/>
          <w:sz w:val="24"/>
          <w:szCs w:val="24"/>
          <w:lang w:eastAsia="ru-RU"/>
        </w:rPr>
        <w:t xml:space="preserve"> № 260н (далее – соответственно Стандарт «Основные средства», Стандарт «Аренда», стандарт «Обесценивание активов», Стандарт «Представление бухгалтерской (финансовой) отчетности»).</w:t>
      </w:r>
    </w:p>
    <w:p w:rsidR="00085721" w:rsidRDefault="001200AD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611CB">
        <w:rPr>
          <w:rFonts w:ascii="Times New Roman" w:hAnsi="Times New Roman"/>
          <w:sz w:val="24"/>
          <w:szCs w:val="24"/>
          <w:lang w:eastAsia="ru-RU"/>
        </w:rPr>
        <w:t>«</w:t>
      </w:r>
      <w:r w:rsidR="00085721">
        <w:rPr>
          <w:rFonts w:ascii="Times New Roman" w:hAnsi="Times New Roman"/>
          <w:sz w:val="24"/>
          <w:szCs w:val="24"/>
          <w:lang w:eastAsia="ru-RU"/>
        </w:rPr>
        <w:t>Федеральный стандарт бухгалтерского учета для организаций государственного сектора</w:t>
      </w:r>
      <w:r w:rsidR="003C4507">
        <w:rPr>
          <w:rFonts w:ascii="Times New Roman" w:hAnsi="Times New Roman"/>
          <w:sz w:val="24"/>
          <w:szCs w:val="24"/>
          <w:lang w:eastAsia="ru-RU"/>
        </w:rPr>
        <w:t>, утвержденный Приказом Минфина России № 275н от 30.12.2017 «События после отчетной даты»</w:t>
      </w:r>
    </w:p>
    <w:p w:rsidR="003C4507" w:rsidRDefault="001200AD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611CB">
        <w:rPr>
          <w:rFonts w:ascii="Times New Roman" w:hAnsi="Times New Roman"/>
          <w:sz w:val="24"/>
          <w:szCs w:val="24"/>
          <w:lang w:eastAsia="ru-RU"/>
        </w:rPr>
        <w:t>«</w:t>
      </w:r>
      <w:r w:rsidR="003C4507">
        <w:rPr>
          <w:rFonts w:ascii="Times New Roman" w:hAnsi="Times New Roman"/>
          <w:sz w:val="24"/>
          <w:szCs w:val="24"/>
          <w:lang w:eastAsia="ru-RU"/>
        </w:rPr>
        <w:t>Федеральный стандарт бухгалтерского учета для организаций государственного сектора, утвержденный Приказом Минфина России № 278н от 30.12.2017 «Отчет о движении денежных средств»</w:t>
      </w:r>
    </w:p>
    <w:p w:rsidR="003C4507" w:rsidRDefault="006611CB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«</w:t>
      </w:r>
      <w:r w:rsidR="003C4507">
        <w:rPr>
          <w:rFonts w:ascii="Times New Roman" w:hAnsi="Times New Roman"/>
          <w:sz w:val="24"/>
          <w:szCs w:val="24"/>
          <w:lang w:eastAsia="ru-RU"/>
        </w:rPr>
        <w:t xml:space="preserve">Федеральный стандарт бухгалтерского учета для организаций государственного сектора, </w:t>
      </w:r>
      <w:r w:rsidR="005D62CC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3C4507">
        <w:rPr>
          <w:rFonts w:ascii="Times New Roman" w:hAnsi="Times New Roman"/>
          <w:sz w:val="24"/>
          <w:szCs w:val="24"/>
          <w:lang w:eastAsia="ru-RU"/>
        </w:rPr>
        <w:t>утвержденный</w:t>
      </w:r>
      <w:r w:rsidR="00A26B38">
        <w:rPr>
          <w:rFonts w:ascii="Times New Roman" w:hAnsi="Times New Roman"/>
          <w:sz w:val="24"/>
          <w:szCs w:val="24"/>
          <w:lang w:eastAsia="ru-RU"/>
        </w:rPr>
        <w:t xml:space="preserve"> Приказом Минфина России № 32н от 27.02.2018 «Доходы»</w:t>
      </w:r>
    </w:p>
    <w:p w:rsidR="008B444D" w:rsidRDefault="001200AD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6611CB">
        <w:rPr>
          <w:rFonts w:ascii="Times New Roman" w:hAnsi="Times New Roman"/>
          <w:sz w:val="24"/>
          <w:szCs w:val="24"/>
          <w:lang w:eastAsia="ru-RU"/>
        </w:rPr>
        <w:t>«</w:t>
      </w:r>
      <w:r w:rsidR="00A26B38">
        <w:rPr>
          <w:rFonts w:ascii="Times New Roman" w:hAnsi="Times New Roman"/>
          <w:sz w:val="24"/>
          <w:szCs w:val="24"/>
          <w:lang w:eastAsia="ru-RU"/>
        </w:rPr>
        <w:t>Федеральный стандарт бухгалтерского учета для организаций государственного сектора, утвержденный Приказом Минфина России № 122н от 30.05.2018 «Влияние изменений курсов иностранных валют»</w:t>
      </w:r>
    </w:p>
    <w:p w:rsidR="008B444D" w:rsidRDefault="008B444D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Раздел 1, подраздел 2 дополнить пунктом следующего содержания:</w:t>
      </w:r>
    </w:p>
    <w:p w:rsidR="001200AD" w:rsidRDefault="006167F2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«Порядок передачи документов и дел при смене руководителя, главного бухгалтера приведен в </w:t>
      </w:r>
      <w:r w:rsidRPr="006167F2">
        <w:rPr>
          <w:rFonts w:ascii="Times New Roman" w:hAnsi="Times New Roman"/>
          <w:b/>
          <w:sz w:val="24"/>
          <w:szCs w:val="24"/>
          <w:lang w:eastAsia="ru-RU"/>
        </w:rPr>
        <w:t>приложении № 19</w:t>
      </w:r>
      <w:r>
        <w:rPr>
          <w:rFonts w:ascii="Times New Roman" w:hAnsi="Times New Roman"/>
          <w:sz w:val="24"/>
          <w:szCs w:val="24"/>
          <w:lang w:eastAsia="ru-RU"/>
        </w:rPr>
        <w:t xml:space="preserve"> к Учетной политике»</w:t>
      </w:r>
    </w:p>
    <w:p w:rsidR="00E30211" w:rsidRDefault="00E30211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200AD" w:rsidRDefault="001200AD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Раздел 2, подраздел 4 дополнить пунктами следующего содержания: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0D1A1C">
        <w:rPr>
          <w:rFonts w:ascii="Times New Roman" w:hAnsi="Times New Roman"/>
        </w:rPr>
        <w:t>«</w:t>
      </w:r>
      <w:r w:rsidR="00402727">
        <w:rPr>
          <w:rFonts w:ascii="Times New Roman" w:hAnsi="Times New Roman"/>
        </w:rPr>
        <w:t>Признание в составе казны неучтенных объектов, выявленных при инвентаризации, осуществляется с применением счета  401 10 180. Имущество принимается по справедливой стоимости, определенной комиссией по поступлению и выбытию активов с применением наиболее подходящего в каждом случае метода.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402727">
        <w:rPr>
          <w:rFonts w:ascii="Times New Roman" w:hAnsi="Times New Roman"/>
        </w:rPr>
        <w:t>Основанием для признания в составе казны неучтенного объекта, выявленного при инвентаризации, являются: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Акт о результатах инвентаризации (ф.0504835);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Распоряжение.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02727">
        <w:rPr>
          <w:rFonts w:ascii="Times New Roman" w:hAnsi="Times New Roman"/>
        </w:rPr>
        <w:t>Выбытие нефинансовых объектов имущества казны при их реализации (приватизации) отражается с применением счета 1 401 10 172.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02727">
        <w:rPr>
          <w:rFonts w:ascii="Times New Roman" w:hAnsi="Times New Roman"/>
        </w:rPr>
        <w:t>Основанием для отражения выбытия объектов имущества казны при реализации (приватизации) являются: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Распоряжение;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Договор;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Акт о приеме-передаче объектов нефинансовых активов (ф. 0504101). 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402727">
        <w:rPr>
          <w:rFonts w:ascii="Times New Roman" w:hAnsi="Times New Roman"/>
        </w:rPr>
        <w:t>Выбытие объектов имущества казны в результате хищений, недостач, гибели или уничтожения из-за террористических актов отражается в момент уничтожения или обнаружения с применением счета 1 401 10 172.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402727">
        <w:rPr>
          <w:rFonts w:ascii="Times New Roman" w:hAnsi="Times New Roman"/>
        </w:rPr>
        <w:t>Основанием для отражения выбытия объек</w:t>
      </w:r>
      <w:r>
        <w:rPr>
          <w:rFonts w:ascii="Times New Roman" w:hAnsi="Times New Roman"/>
        </w:rPr>
        <w:t>тов имущества казны в результат</w:t>
      </w:r>
      <w:r w:rsidR="00402727">
        <w:rPr>
          <w:rFonts w:ascii="Times New Roman" w:hAnsi="Times New Roman"/>
        </w:rPr>
        <w:t xml:space="preserve"> хищений, недостач, гибели или терактов являются: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Распоряжение;</w:t>
      </w:r>
    </w:p>
    <w:p w:rsidR="006611CB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02727">
        <w:rPr>
          <w:rFonts w:ascii="Times New Roman" w:hAnsi="Times New Roman"/>
        </w:rPr>
        <w:t xml:space="preserve">Акт о списании объектов нефинансовых активов (кроме транспортных средств) 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(ф. 0504104);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Акт о списании транспортного средства (ф.0504105).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02727">
        <w:rPr>
          <w:rFonts w:ascii="Times New Roman" w:hAnsi="Times New Roman"/>
        </w:rPr>
        <w:t>Ущерб, подлежащий взысканию с виновного лица, отражается с применением счета 1 401 10 172.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02727">
        <w:rPr>
          <w:rFonts w:ascii="Times New Roman" w:hAnsi="Times New Roman"/>
        </w:rPr>
        <w:t>При наличии виновного лица сумма ущерба, подлежащего взысканию, определяется комиссией по поступлению и выбытию активов по справедливой стоимости утраченного имущества казны, определенной с применение наиболее подходящего в каждом случае метода.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02727">
        <w:rPr>
          <w:rFonts w:ascii="Times New Roman" w:hAnsi="Times New Roman"/>
        </w:rPr>
        <w:t>Выбытие нефинансовых объектов имущества казны, уничтоженных в результате стихийных бедствий, опасного природного явления, катастрофы, отражается с применением счета 1 401 20 273.</w:t>
      </w:r>
    </w:p>
    <w:p w:rsidR="00402727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02727">
        <w:rPr>
          <w:rFonts w:ascii="Times New Roman" w:hAnsi="Times New Roman"/>
        </w:rPr>
        <w:t>Основанием для отражения выбытия объектов казны, уничтоженных в результате стихийных и иных бедствий, опасного природного явления, катастрофы, являются: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Распоряжение;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Акт о списании объектов нефинансовых активов (кроме транспортных средств) (ф.0504104);</w:t>
      </w:r>
    </w:p>
    <w:p w:rsidR="00402727" w:rsidRDefault="00402727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Акт о списании транспортного средства (ф0504105).</w:t>
      </w:r>
      <w:r w:rsidR="000D1A1C">
        <w:rPr>
          <w:rFonts w:ascii="Times New Roman" w:hAnsi="Times New Roman"/>
        </w:rPr>
        <w:t>»</w:t>
      </w:r>
    </w:p>
    <w:p w:rsidR="00E30211" w:rsidRDefault="00E30211" w:rsidP="006611CB">
      <w:pPr>
        <w:pStyle w:val="20"/>
        <w:spacing w:line="240" w:lineRule="auto"/>
        <w:ind w:firstLine="0"/>
        <w:rPr>
          <w:rFonts w:ascii="Times New Roman" w:hAnsi="Times New Roman"/>
        </w:rPr>
      </w:pPr>
    </w:p>
    <w:p w:rsidR="006167F2" w:rsidRPr="006611CB" w:rsidRDefault="006167F2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611CB">
        <w:rPr>
          <w:rFonts w:ascii="Times New Roman" w:hAnsi="Times New Roman"/>
          <w:sz w:val="24"/>
          <w:szCs w:val="24"/>
          <w:lang w:eastAsia="ru-RU"/>
        </w:rPr>
        <w:t>Раздел 2, подраздел 6 дополнить пунктами следующего содержания:</w:t>
      </w:r>
    </w:p>
    <w:p w:rsidR="008F3BC2" w:rsidRDefault="008F3BC2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«Бюджетные полномочия главных администраторов доходов бюджетной системы Российской Федерации, являющихся органами местного самоуправления и (или) находящимися в их ведении казенными учреждениями, осуществляется 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утвержденном постановлением администрации муниципального образования.</w:t>
      </w:r>
    </w:p>
    <w:p w:rsidR="008F3BC2" w:rsidRDefault="008F3BC2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Распоряжением Администрации муниципального образования утверждается перечень кодов подвидов по видам доходов.</w:t>
      </w:r>
    </w:p>
    <w:p w:rsidR="008F3BC2" w:rsidRDefault="008F3BC2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6611C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Основанием для отражения операций по поступлениям являются выписки из лицевого счета администратора доходов бюджета (ф. 0531761).</w:t>
      </w:r>
    </w:p>
    <w:p w:rsidR="00770AE1" w:rsidRDefault="008F3BC2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6611CB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 Первичные документы, являющиеся основанием для отражения поступлений на лицевой счет администратора доходов – платежные поручения (ф.</w:t>
      </w:r>
      <w:r w:rsidR="0052233A">
        <w:rPr>
          <w:rFonts w:ascii="Times New Roman" w:hAnsi="Times New Roman"/>
          <w:sz w:val="24"/>
          <w:szCs w:val="24"/>
          <w:lang w:eastAsia="ru-RU"/>
        </w:rPr>
        <w:t>0401060).</w:t>
      </w:r>
      <w:r w:rsidR="000D1A1C">
        <w:rPr>
          <w:rFonts w:ascii="Times New Roman" w:hAnsi="Times New Roman"/>
          <w:sz w:val="24"/>
          <w:szCs w:val="24"/>
          <w:lang w:eastAsia="ru-RU"/>
        </w:rPr>
        <w:t>»</w:t>
      </w:r>
    </w:p>
    <w:p w:rsidR="00E30211" w:rsidRDefault="00E30211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495F" w:rsidRDefault="00A9495F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Раздел 2, подраздел 14 дополнить пунктами следующего содержания:</w:t>
      </w:r>
    </w:p>
    <w:p w:rsidR="00770AE1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70AE1">
        <w:rPr>
          <w:rFonts w:ascii="Times New Roman" w:hAnsi="Times New Roman"/>
        </w:rPr>
        <w:t>«В соответствии со статьей 264.2 БК РФ главные администраторы средств местного бюджета представляют бюджетную отчетность в финансовые органы муниципальных образований  в установленные ими сроки.</w:t>
      </w:r>
    </w:p>
    <w:p w:rsidR="00770AE1" w:rsidRDefault="006611CB" w:rsidP="006611CB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770AE1">
        <w:rPr>
          <w:rFonts w:ascii="Times New Roman" w:hAnsi="Times New Roman"/>
        </w:rPr>
        <w:t>Бюджетная отчетность муниципальных образований составляется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средств.</w:t>
      </w:r>
    </w:p>
    <w:p w:rsidR="00A26B38" w:rsidRDefault="00770AE1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611CB">
        <w:rPr>
          <w:rFonts w:ascii="Times New Roman" w:hAnsi="Times New Roman"/>
          <w:sz w:val="24"/>
          <w:szCs w:val="24"/>
        </w:rPr>
        <w:t>Годовые отчеты об исполнении местных бюджетов подлежат утверждению муниципальным правовым актом представительного органа муниципального образования»</w:t>
      </w:r>
      <w:r w:rsidR="00822E65" w:rsidRPr="006611CB">
        <w:rPr>
          <w:rFonts w:ascii="Times New Roman" w:hAnsi="Times New Roman"/>
          <w:sz w:val="24"/>
          <w:szCs w:val="24"/>
        </w:rPr>
        <w:t>.</w:t>
      </w:r>
    </w:p>
    <w:p w:rsidR="00E30211" w:rsidRPr="006611CB" w:rsidRDefault="00E30211" w:rsidP="006611CB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22E65" w:rsidRPr="006611CB" w:rsidRDefault="00822E65" w:rsidP="006611CB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1CB">
        <w:rPr>
          <w:rFonts w:ascii="Times New Roman" w:hAnsi="Times New Roman"/>
          <w:sz w:val="24"/>
          <w:szCs w:val="24"/>
        </w:rPr>
        <w:t>Раздел 2, подраздел 15 дополнить пунктами следующего содержания</w:t>
      </w:r>
    </w:p>
    <w:p w:rsidR="009D5D97" w:rsidRDefault="006611CB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822E65">
        <w:rPr>
          <w:rFonts w:ascii="Times New Roman" w:hAnsi="Times New Roman"/>
        </w:rPr>
        <w:t>«</w:t>
      </w:r>
      <w:proofErr w:type="gramStart"/>
      <w:r w:rsidR="00822E65">
        <w:rPr>
          <w:rFonts w:ascii="Times New Roman" w:hAnsi="Times New Roman"/>
        </w:rPr>
        <w:t>В связи с отсутствием  объекта налогообложения данные в налоговой декларации по налогу на прибыль</w:t>
      </w:r>
      <w:proofErr w:type="gramEnd"/>
      <w:r w:rsidR="00822E65">
        <w:rPr>
          <w:rFonts w:ascii="Times New Roman" w:hAnsi="Times New Roman"/>
        </w:rPr>
        <w:t>, по налогу на добавленную стоимость  не заполняются.»</w:t>
      </w:r>
    </w:p>
    <w:p w:rsidR="00E30211" w:rsidRDefault="00E30211" w:rsidP="0089563C">
      <w:pPr>
        <w:pStyle w:val="20"/>
        <w:spacing w:line="240" w:lineRule="auto"/>
        <w:ind w:firstLine="0"/>
        <w:rPr>
          <w:rFonts w:ascii="Times New Roman" w:hAnsi="Times New Roman"/>
        </w:rPr>
      </w:pPr>
    </w:p>
    <w:p w:rsidR="009D5D97" w:rsidRPr="0089563C" w:rsidRDefault="009D5D97" w:rsidP="0089563C">
      <w:pPr>
        <w:pStyle w:val="20"/>
        <w:numPr>
          <w:ilvl w:val="0"/>
          <w:numId w:val="8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Раздел 2 дополнить подразделом 16 «</w:t>
      </w:r>
      <w:proofErr w:type="spellStart"/>
      <w:r>
        <w:rPr>
          <w:rFonts w:ascii="Times New Roman" w:hAnsi="Times New Roman"/>
        </w:rPr>
        <w:t>Забалансовый</w:t>
      </w:r>
      <w:proofErr w:type="spellEnd"/>
      <w:r>
        <w:rPr>
          <w:rFonts w:ascii="Times New Roman" w:hAnsi="Times New Roman"/>
        </w:rPr>
        <w:t xml:space="preserve"> учет»: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«На </w:t>
      </w:r>
      <w:proofErr w:type="spellStart"/>
      <w:r>
        <w:rPr>
          <w:rFonts w:ascii="Times New Roman" w:hAnsi="Times New Roman"/>
        </w:rPr>
        <w:t>забалансовом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счете 03 </w:t>
      </w:r>
      <w:r>
        <w:rPr>
          <w:rFonts w:ascii="Times New Roman" w:hAnsi="Times New Roman"/>
        </w:rPr>
        <w:t>«Бланки строгой отчетности» учитываются: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- трудовые книжки;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-вкладыши в трудовые книжки.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 </w:t>
      </w:r>
      <w:proofErr w:type="spellStart"/>
      <w:r>
        <w:rPr>
          <w:rFonts w:ascii="Times New Roman" w:hAnsi="Times New Roman"/>
        </w:rPr>
        <w:t>забалансовом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счете 04 </w:t>
      </w:r>
      <w:r>
        <w:rPr>
          <w:rFonts w:ascii="Times New Roman" w:hAnsi="Times New Roman"/>
        </w:rPr>
        <w:t>«Задолженность неплатежеспособных дебиторов» учет ведется в разрезе контрагентов и договоров.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</w:t>
      </w:r>
      <w:r w:rsidR="009D5D97">
        <w:rPr>
          <w:rFonts w:ascii="Times New Roman" w:hAnsi="Times New Roman"/>
        </w:rPr>
        <w:t xml:space="preserve">Аналитический учет по </w:t>
      </w:r>
      <w:r w:rsidR="009D5D97">
        <w:rPr>
          <w:rFonts w:ascii="Times New Roman" w:hAnsi="Times New Roman"/>
          <w:b/>
        </w:rPr>
        <w:t>счетам 17</w:t>
      </w:r>
      <w:r w:rsidR="009D5D97">
        <w:rPr>
          <w:rFonts w:ascii="Times New Roman" w:hAnsi="Times New Roman"/>
        </w:rPr>
        <w:t xml:space="preserve"> «Поступления денежных средств» и </w:t>
      </w:r>
      <w:r w:rsidR="009D5D97">
        <w:rPr>
          <w:rFonts w:ascii="Times New Roman" w:hAnsi="Times New Roman"/>
          <w:b/>
        </w:rPr>
        <w:t>18</w:t>
      </w:r>
      <w:r w:rsidR="009D5D97">
        <w:rPr>
          <w:rFonts w:ascii="Times New Roman" w:hAnsi="Times New Roman"/>
        </w:rPr>
        <w:t xml:space="preserve"> «Выбытия денежных средств» ведется в </w:t>
      </w:r>
      <w:proofErr w:type="spellStart"/>
      <w:r w:rsidR="009D5D97">
        <w:rPr>
          <w:rFonts w:ascii="Times New Roman" w:hAnsi="Times New Roman"/>
        </w:rPr>
        <w:t>Многографной</w:t>
      </w:r>
      <w:proofErr w:type="spellEnd"/>
      <w:r w:rsidR="009D5D97">
        <w:rPr>
          <w:rFonts w:ascii="Times New Roman" w:hAnsi="Times New Roman"/>
        </w:rPr>
        <w:t xml:space="preserve"> карточке (ф.0504054).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9D5D97">
        <w:rPr>
          <w:rFonts w:ascii="Times New Roman" w:hAnsi="Times New Roman"/>
        </w:rPr>
        <w:t xml:space="preserve">Аналитический учет невыясненных поступлений бюджета прошлых лет ведется на </w:t>
      </w:r>
      <w:r w:rsidR="009D5D97">
        <w:rPr>
          <w:rFonts w:ascii="Times New Roman" w:hAnsi="Times New Roman"/>
          <w:b/>
        </w:rPr>
        <w:t>счете 19</w:t>
      </w:r>
      <w:r w:rsidR="009D5D97">
        <w:rPr>
          <w:rFonts w:ascii="Times New Roman" w:hAnsi="Times New Roman"/>
        </w:rPr>
        <w:t xml:space="preserve"> «Невыясненные поступления прошлых лет» в разрезе каждого плательщика, от которого поступили соответствующие средства.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D5D97">
        <w:rPr>
          <w:rFonts w:ascii="Times New Roman" w:hAnsi="Times New Roman"/>
        </w:rPr>
        <w:t xml:space="preserve">На </w:t>
      </w:r>
      <w:proofErr w:type="spellStart"/>
      <w:r w:rsidR="009D5D97">
        <w:rPr>
          <w:rFonts w:ascii="Times New Roman" w:hAnsi="Times New Roman"/>
        </w:rPr>
        <w:t>забалансовом</w:t>
      </w:r>
      <w:proofErr w:type="spellEnd"/>
      <w:r w:rsidR="009D5D97">
        <w:rPr>
          <w:rFonts w:ascii="Times New Roman" w:hAnsi="Times New Roman"/>
        </w:rPr>
        <w:t xml:space="preserve"> </w:t>
      </w:r>
      <w:r w:rsidR="009D5D97">
        <w:rPr>
          <w:rFonts w:ascii="Times New Roman" w:hAnsi="Times New Roman"/>
          <w:b/>
        </w:rPr>
        <w:t>счете 20</w:t>
      </w:r>
      <w:r w:rsidR="009D5D97">
        <w:rPr>
          <w:rFonts w:ascii="Times New Roman" w:hAnsi="Times New Roman"/>
        </w:rPr>
        <w:t xml:space="preserve"> «Задолженность, невостребованная кредиторами» не востребованная кредитором задолженность принимается распоряжением, изданном на основании: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инвентарной описи расчетов с покупателями, поставщиками и прочими дебиторами и кредиторами (ф. 0504089);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докладной записки о выявлении кредиторской задолженности, не востребованной кредиторами;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D5D97">
        <w:rPr>
          <w:rFonts w:ascii="Times New Roman" w:hAnsi="Times New Roman"/>
        </w:rPr>
        <w:t xml:space="preserve">Списание задолженности с </w:t>
      </w:r>
      <w:proofErr w:type="spellStart"/>
      <w:r w:rsidR="009D5D97">
        <w:rPr>
          <w:rFonts w:ascii="Times New Roman" w:hAnsi="Times New Roman"/>
        </w:rPr>
        <w:t>забалансового</w:t>
      </w:r>
      <w:proofErr w:type="spellEnd"/>
      <w:r w:rsidR="009D5D97">
        <w:rPr>
          <w:rFonts w:ascii="Times New Roman" w:hAnsi="Times New Roman"/>
        </w:rPr>
        <w:t xml:space="preserve"> учета осуществляется по итогам инвентаризации на основании решения инвентаризационной комиссии в следующих случаях: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завершился срок возможного возобновления процедуры взыскания задолженности согласно законодательству;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-имеются документы, подтверждающие прекращение обязательства в связи со смертью (ликвидацией) контрагента.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D5D97">
        <w:rPr>
          <w:rFonts w:ascii="Times New Roman" w:hAnsi="Times New Roman"/>
        </w:rPr>
        <w:t xml:space="preserve">Основные средства на </w:t>
      </w:r>
      <w:proofErr w:type="spellStart"/>
      <w:r w:rsidR="009D5D97">
        <w:rPr>
          <w:rFonts w:ascii="Times New Roman" w:hAnsi="Times New Roman"/>
        </w:rPr>
        <w:t>забалансовом</w:t>
      </w:r>
      <w:proofErr w:type="spellEnd"/>
      <w:r w:rsidR="009D5D97">
        <w:rPr>
          <w:rFonts w:ascii="Times New Roman" w:hAnsi="Times New Roman"/>
        </w:rPr>
        <w:t xml:space="preserve"> </w:t>
      </w:r>
      <w:r w:rsidR="009D5D97">
        <w:rPr>
          <w:rFonts w:ascii="Times New Roman" w:hAnsi="Times New Roman"/>
          <w:b/>
        </w:rPr>
        <w:t xml:space="preserve">счете 21 </w:t>
      </w:r>
      <w:r w:rsidR="009D5D97">
        <w:rPr>
          <w:rFonts w:ascii="Times New Roman" w:hAnsi="Times New Roman"/>
        </w:rPr>
        <w:t xml:space="preserve">«Основные средства в эксплуатации» учитываются по балансовой стоимости объекта. 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D5D97">
        <w:rPr>
          <w:rFonts w:ascii="Times New Roman" w:hAnsi="Times New Roman"/>
        </w:rPr>
        <w:t xml:space="preserve">Аналитический учет на </w:t>
      </w:r>
      <w:r w:rsidR="009D5D97">
        <w:rPr>
          <w:rFonts w:ascii="Times New Roman" w:hAnsi="Times New Roman"/>
          <w:b/>
        </w:rPr>
        <w:t>счете 21</w:t>
      </w:r>
      <w:r w:rsidR="009D5D97">
        <w:rPr>
          <w:rFonts w:ascii="Times New Roman" w:hAnsi="Times New Roman"/>
        </w:rPr>
        <w:t xml:space="preserve"> ведется в разрезе видов имущества.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D5D97">
        <w:rPr>
          <w:rFonts w:ascii="Times New Roman" w:hAnsi="Times New Roman"/>
        </w:rPr>
        <w:t xml:space="preserve">Аналитический учет по </w:t>
      </w:r>
      <w:r w:rsidR="009D5D97">
        <w:rPr>
          <w:rFonts w:ascii="Times New Roman" w:hAnsi="Times New Roman"/>
          <w:b/>
        </w:rPr>
        <w:t xml:space="preserve">счету 22 </w:t>
      </w:r>
      <w:r w:rsidR="009D5D97">
        <w:rPr>
          <w:rFonts w:ascii="Times New Roman" w:hAnsi="Times New Roman"/>
        </w:rPr>
        <w:t>«</w:t>
      </w:r>
      <w:proofErr w:type="spellStart"/>
      <w:r w:rsidR="009D5D97">
        <w:rPr>
          <w:rFonts w:ascii="Times New Roman" w:hAnsi="Times New Roman"/>
        </w:rPr>
        <w:t>Иатериальные</w:t>
      </w:r>
      <w:proofErr w:type="spellEnd"/>
      <w:r w:rsidR="009D5D97">
        <w:rPr>
          <w:rFonts w:ascii="Times New Roman" w:hAnsi="Times New Roman"/>
        </w:rPr>
        <w:t xml:space="preserve"> ценности, полученные по централизованному снабжению» ведется в разрезе видов материальных ценностей, получателей.</w:t>
      </w:r>
    </w:p>
    <w:p w:rsidR="009D5D97" w:rsidRDefault="0089563C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9D5D97">
        <w:rPr>
          <w:rFonts w:ascii="Times New Roman" w:hAnsi="Times New Roman"/>
        </w:rPr>
        <w:t xml:space="preserve">Выбытие инвентарных объектов основных средств, в том числе объектов движимого имущества стоимостью до 10000 руб. включительно, учитываемых на </w:t>
      </w:r>
      <w:proofErr w:type="spellStart"/>
      <w:r w:rsidR="009D5D97">
        <w:rPr>
          <w:rFonts w:ascii="Times New Roman" w:hAnsi="Times New Roman"/>
        </w:rPr>
        <w:t>забалансовом</w:t>
      </w:r>
      <w:proofErr w:type="spellEnd"/>
      <w:r w:rsidR="009D5D97">
        <w:rPr>
          <w:rFonts w:ascii="Times New Roman" w:hAnsi="Times New Roman"/>
        </w:rPr>
        <w:t xml:space="preserve"> учете, оформляется соответствующим актом о списании (ф.ф. 0504104,0504105,0504143).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Аналитический учет на </w:t>
      </w:r>
      <w:r>
        <w:rPr>
          <w:rFonts w:ascii="Times New Roman" w:hAnsi="Times New Roman"/>
          <w:b/>
        </w:rPr>
        <w:t>счете 25</w:t>
      </w:r>
      <w:r>
        <w:rPr>
          <w:rFonts w:ascii="Times New Roman" w:hAnsi="Times New Roman"/>
        </w:rPr>
        <w:t xml:space="preserve"> «Имущество, переданное в безвозмездное пользование» ведется в разрезе контрагентов и видов имущества.»</w:t>
      </w: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</w:p>
    <w:p w:rsidR="009D5D97" w:rsidRDefault="009D5D97" w:rsidP="0089563C">
      <w:pPr>
        <w:pStyle w:val="20"/>
        <w:spacing w:line="240" w:lineRule="auto"/>
        <w:ind w:firstLine="0"/>
        <w:rPr>
          <w:rFonts w:ascii="Times New Roman" w:hAnsi="Times New Roman"/>
        </w:rPr>
      </w:pPr>
    </w:p>
    <w:p w:rsidR="00822E65" w:rsidRPr="00770AE1" w:rsidRDefault="00822E65" w:rsidP="0089563C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11CB" w:rsidRPr="00770AE1" w:rsidRDefault="006611CB" w:rsidP="0089563C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6611CB" w:rsidRPr="00770AE1" w:rsidSect="006611CB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1AE9"/>
    <w:multiLevelType w:val="hybridMultilevel"/>
    <w:tmpl w:val="27AC5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D46B1"/>
    <w:multiLevelType w:val="hybridMultilevel"/>
    <w:tmpl w:val="1FCC53DE"/>
    <w:lvl w:ilvl="0" w:tplc="F5566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3F3CDF"/>
    <w:multiLevelType w:val="hybridMultilevel"/>
    <w:tmpl w:val="7084F53E"/>
    <w:lvl w:ilvl="0" w:tplc="0E94A29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9AC01E1"/>
    <w:multiLevelType w:val="hybridMultilevel"/>
    <w:tmpl w:val="B4629B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347689E"/>
    <w:multiLevelType w:val="hybridMultilevel"/>
    <w:tmpl w:val="A66E3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002A"/>
    <w:multiLevelType w:val="hybridMultilevel"/>
    <w:tmpl w:val="D69A634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A8B7D2F"/>
    <w:multiLevelType w:val="hybridMultilevel"/>
    <w:tmpl w:val="E0FE229A"/>
    <w:lvl w:ilvl="0" w:tplc="2118016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CF59EF"/>
    <w:multiLevelType w:val="hybridMultilevel"/>
    <w:tmpl w:val="1F821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DF"/>
    <w:rsid w:val="0001386B"/>
    <w:rsid w:val="00016DEA"/>
    <w:rsid w:val="000170B5"/>
    <w:rsid w:val="00025AB8"/>
    <w:rsid w:val="00026EA4"/>
    <w:rsid w:val="000568D9"/>
    <w:rsid w:val="00085721"/>
    <w:rsid w:val="000D1A1C"/>
    <w:rsid w:val="001148EC"/>
    <w:rsid w:val="001200AD"/>
    <w:rsid w:val="00140719"/>
    <w:rsid w:val="0016700B"/>
    <w:rsid w:val="001B55BD"/>
    <w:rsid w:val="001D0385"/>
    <w:rsid w:val="002003B2"/>
    <w:rsid w:val="00203DE6"/>
    <w:rsid w:val="002313F8"/>
    <w:rsid w:val="00231FBE"/>
    <w:rsid w:val="002B50C6"/>
    <w:rsid w:val="002F4759"/>
    <w:rsid w:val="00300C0B"/>
    <w:rsid w:val="003055D8"/>
    <w:rsid w:val="00342A79"/>
    <w:rsid w:val="00352F35"/>
    <w:rsid w:val="003746E3"/>
    <w:rsid w:val="00384D1A"/>
    <w:rsid w:val="003954CB"/>
    <w:rsid w:val="003C4507"/>
    <w:rsid w:val="003F0C40"/>
    <w:rsid w:val="00402727"/>
    <w:rsid w:val="004127A5"/>
    <w:rsid w:val="0043099B"/>
    <w:rsid w:val="004C096D"/>
    <w:rsid w:val="004C769A"/>
    <w:rsid w:val="004E6DBC"/>
    <w:rsid w:val="004F07D4"/>
    <w:rsid w:val="0052233A"/>
    <w:rsid w:val="00533CA6"/>
    <w:rsid w:val="00544A56"/>
    <w:rsid w:val="00573EFC"/>
    <w:rsid w:val="005768CE"/>
    <w:rsid w:val="005A7344"/>
    <w:rsid w:val="005D62CC"/>
    <w:rsid w:val="005E5450"/>
    <w:rsid w:val="005F4C42"/>
    <w:rsid w:val="00611E5B"/>
    <w:rsid w:val="006167F2"/>
    <w:rsid w:val="006611CB"/>
    <w:rsid w:val="00677D80"/>
    <w:rsid w:val="006A0938"/>
    <w:rsid w:val="006D6A42"/>
    <w:rsid w:val="006F0119"/>
    <w:rsid w:val="006F5515"/>
    <w:rsid w:val="0073341A"/>
    <w:rsid w:val="00770AE1"/>
    <w:rsid w:val="007869C4"/>
    <w:rsid w:val="007E01A5"/>
    <w:rsid w:val="007E64E6"/>
    <w:rsid w:val="00822E65"/>
    <w:rsid w:val="0083371E"/>
    <w:rsid w:val="00864299"/>
    <w:rsid w:val="00886F2C"/>
    <w:rsid w:val="0089563C"/>
    <w:rsid w:val="008A4C11"/>
    <w:rsid w:val="008B444D"/>
    <w:rsid w:val="008F3BC2"/>
    <w:rsid w:val="00973442"/>
    <w:rsid w:val="009B1E35"/>
    <w:rsid w:val="009C2C76"/>
    <w:rsid w:val="009C7D00"/>
    <w:rsid w:val="009D5D97"/>
    <w:rsid w:val="00A00A71"/>
    <w:rsid w:val="00A26B38"/>
    <w:rsid w:val="00A565FA"/>
    <w:rsid w:val="00A57DFD"/>
    <w:rsid w:val="00A9495F"/>
    <w:rsid w:val="00AC3511"/>
    <w:rsid w:val="00AC7CD5"/>
    <w:rsid w:val="00B07C4E"/>
    <w:rsid w:val="00B117DF"/>
    <w:rsid w:val="00B32A8B"/>
    <w:rsid w:val="00B551DC"/>
    <w:rsid w:val="00B94E9D"/>
    <w:rsid w:val="00BB2FF1"/>
    <w:rsid w:val="00C601EB"/>
    <w:rsid w:val="00C75099"/>
    <w:rsid w:val="00C815C8"/>
    <w:rsid w:val="00CE111E"/>
    <w:rsid w:val="00D8511B"/>
    <w:rsid w:val="00D94AD4"/>
    <w:rsid w:val="00DC36F2"/>
    <w:rsid w:val="00DE37DC"/>
    <w:rsid w:val="00E30211"/>
    <w:rsid w:val="00E3291F"/>
    <w:rsid w:val="00E37F78"/>
    <w:rsid w:val="00E4744B"/>
    <w:rsid w:val="00E56046"/>
    <w:rsid w:val="00EB275F"/>
    <w:rsid w:val="00EC7C14"/>
    <w:rsid w:val="00EF587B"/>
    <w:rsid w:val="00F11C7D"/>
    <w:rsid w:val="00F451B8"/>
    <w:rsid w:val="00F6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117D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B117D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1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7DF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Subtitle"/>
    <w:basedOn w:val="a"/>
    <w:next w:val="a"/>
    <w:link w:val="a7"/>
    <w:qFormat/>
    <w:rsid w:val="00402727"/>
    <w:pPr>
      <w:spacing w:after="60" w:line="240" w:lineRule="auto"/>
      <w:jc w:val="center"/>
      <w:outlineLvl w:val="1"/>
    </w:pPr>
    <w:rPr>
      <w:rFonts w:ascii="Cambria" w:eastAsia="Times New Roman" w:hAnsi="Cambria"/>
      <w:b/>
      <w:sz w:val="28"/>
      <w:szCs w:val="24"/>
    </w:rPr>
  </w:style>
  <w:style w:type="character" w:customStyle="1" w:styleId="a7">
    <w:name w:val="Подзаголовок Знак"/>
    <w:basedOn w:val="a0"/>
    <w:link w:val="a6"/>
    <w:rsid w:val="00402727"/>
    <w:rPr>
      <w:rFonts w:ascii="Cambria" w:hAnsi="Cambria"/>
      <w:b/>
      <w:sz w:val="28"/>
      <w:szCs w:val="24"/>
    </w:rPr>
  </w:style>
  <w:style w:type="character" w:customStyle="1" w:styleId="2">
    <w:name w:val="Стиль2 Знак"/>
    <w:link w:val="20"/>
    <w:locked/>
    <w:rsid w:val="00402727"/>
    <w:rPr>
      <w:rFonts w:ascii="Cambria" w:hAnsi="Cambria"/>
      <w:sz w:val="24"/>
      <w:szCs w:val="24"/>
    </w:rPr>
  </w:style>
  <w:style w:type="paragraph" w:customStyle="1" w:styleId="20">
    <w:name w:val="Стиль2"/>
    <w:basedOn w:val="a"/>
    <w:link w:val="2"/>
    <w:qFormat/>
    <w:rsid w:val="00402727"/>
    <w:pPr>
      <w:autoSpaceDE w:val="0"/>
      <w:autoSpaceDN w:val="0"/>
      <w:adjustRightInd w:val="0"/>
      <w:spacing w:after="0"/>
      <w:ind w:firstLine="540"/>
      <w:jc w:val="both"/>
    </w:pPr>
    <w:rPr>
      <w:rFonts w:ascii="Cambria" w:eastAsia="Times New Roman" w:hAnsi="Cambri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FEB19A-BAC4-4777-9873-60502611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2019-04-18T12:49:00Z</cp:lastPrinted>
  <dcterms:created xsi:type="dcterms:W3CDTF">2015-05-18T14:00:00Z</dcterms:created>
  <dcterms:modified xsi:type="dcterms:W3CDTF">2019-09-09T14:01:00Z</dcterms:modified>
</cp:coreProperties>
</file>