
<file path=[Content_Types].xml><?xml version="1.0" encoding="utf-8"?>
<Types xmlns="http://schemas.openxmlformats.org/package/2006/content-types">
  <Default ContentType="image/jpeg" Extension="jpeg"/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2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5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6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8000000">
            <w:pPr>
              <w:pStyle w:val="Style_2"/>
              <w:spacing w:before="0"/>
              <w:ind w:firstLine="0" w:left="720"/>
            </w:pPr>
          </w:p>
          <w:p w14:paraId="09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26 сентября 2024 года № 29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A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000000">
      <w:pPr>
        <w:widowControl w:val="1"/>
        <w:numPr>
          <w:ilvl w:val="0"/>
          <w:numId w:val="0"/>
        </w:numPr>
        <w:ind/>
        <w:jc w:val="center"/>
        <w:outlineLvl w:val="0"/>
      </w:pPr>
      <w:r>
        <w:t xml:space="preserve">                    </w:t>
      </w:r>
    </w:p>
    <w:p w14:paraId="0C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b w:val="1"/>
          <w:sz w:val="26"/>
        </w:rPr>
        <w:t xml:space="preserve"> </w:t>
      </w:r>
      <w:r>
        <w:rPr>
          <w:b w:val="1"/>
          <w:sz w:val="30"/>
        </w:rPr>
        <w:t>Основные изменения в Правилах пограничного режима</w:t>
      </w:r>
      <w:r>
        <w:rPr>
          <w:sz w:val="30"/>
        </w:rPr>
        <w:t xml:space="preserve"> </w:t>
      </w:r>
      <w:r>
        <w:rPr>
          <w:rFonts w:ascii="XO Thames" w:hAnsi="XO Thames"/>
          <w:b w:val="1"/>
          <w:sz w:val="30"/>
        </w:rPr>
        <w:t>вносимые приказом ФСБ России от 25.05.2024 N2 205</w:t>
      </w:r>
    </w:p>
    <w:p w14:paraId="0D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</w:p>
    <w:p w14:paraId="0E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Директора ФСБ от 25 мая 2024 года № 205 внесены изменения в Правила пограничного режима, утвержденные приказом ФСБ России от 07 августа 2017 г. № 454.</w:t>
      </w:r>
    </w:p>
    <w:p w14:paraId="0F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 части учета и содержания российских маломерных самоходных и несамоходных (надводных и подводных) судов (средств) и средств передвижения по льду, их плавания и передвижения по льду.</w:t>
      </w:r>
    </w:p>
    <w:p w14:paraId="11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Конкретизирован перечень маломерных судов, подводных средств </w:t>
      </w:r>
      <w:r>
        <w:rPr>
          <w:rFonts w:ascii="Times New Roman" w:hAnsi="Times New Roman"/>
          <w:sz w:val="24"/>
        </w:rPr>
        <w:drawing>
          <wp:inline>
            <wp:extent cx="6350" cy="635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движения, подводных обитаемых и необитаемых аппаратов, водолазных дыхательных аппаратов, средств передвижения по льду подлежащих учету в пограничном органе или подразделении пограничного органа.</w:t>
      </w:r>
    </w:p>
    <w:p w14:paraId="12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подлежат учету в пограничном органе или подразделении </w:t>
      </w:r>
      <w:r>
        <w:rPr>
          <w:rFonts w:ascii="Times New Roman" w:hAnsi="Times New Roman"/>
          <w:sz w:val="24"/>
        </w:rPr>
        <w:drawing>
          <wp:inline>
            <wp:extent cx="15240" cy="1524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5240" cy="152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пограничного органа российские маломерные суда самоходные и несамоходные (надводные и подводные суда (средств) и средства передвижения по льду, используемые в море и являющиеся принадлежностями судов.</w:t>
      </w:r>
    </w:p>
    <w:p w14:paraId="13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inline>
            <wp:extent cx="6350" cy="635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350" cy="63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Постановка на учет судна (средства), подлежащего учету, осуществляе</w:t>
      </w:r>
      <w:r>
        <w:rPr>
          <w:rFonts w:ascii="Times New Roman" w:hAnsi="Times New Roman"/>
          <w:sz w:val="24"/>
        </w:rPr>
        <w:t xml:space="preserve">тся в срок не позднее трех рабочих дней после дня получения пограничным органом или подразделением пограничного органа </w:t>
      </w:r>
      <w:r>
        <w:rPr>
          <w:rFonts w:ascii="Times New Roman" w:hAnsi="Times New Roman"/>
          <w:sz w:val="24"/>
        </w:rPr>
        <w:drawing>
          <wp:inline>
            <wp:extent cx="6350" cy="12065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350" cy="1206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уведомления о постановке на учет (ранее срок не оговаривался).</w:t>
      </w:r>
    </w:p>
    <w:p w14:paraId="14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выходе и возвращении маломерного судна (средства) может быть направлено (передано) посредством факсимильной (при наличии), электронной почты (при наличии), телефонной связи или радиосвязи либо вручено при личном обращении в пограничный орган или подразделение пограничного органа (ранее по телефонной или радиосвязи).</w:t>
      </w:r>
    </w:p>
    <w:p w14:paraId="15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расширен перечень сведений, сообщаемых в пограничный орган в уведомлении о выходе.</w:t>
      </w:r>
    </w:p>
    <w:p w14:paraId="16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изменения времени выхода маломерного судна собственник </w:t>
      </w:r>
      <w:r>
        <w:rPr>
          <w:rFonts w:ascii="Times New Roman" w:hAnsi="Times New Roman"/>
          <w:sz w:val="24"/>
        </w:rPr>
        <w:drawing>
          <wp:inline>
            <wp:extent cx="6350" cy="3175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350" cy="31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маломерного судна, либо лицо, которое будет управлять (планировало управлять) уведомляет пограничный орган или подразделение пограничного органа по месту использования маломерного судна не позднее чем за два часа до выхода [ранее - до заявленного времени выхода).</w:t>
      </w:r>
    </w:p>
    <w:p w14:paraId="17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также может направлено (передано) посредством факсимильной (при наличии), электронной почты (при наличии), телефонной связи или радиосвязи либо вручено при личном обращении в пограничный орган или подразделение пограничного органа.</w:t>
      </w:r>
    </w:p>
    <w:p w14:paraId="18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Допускается предъявление по требованию должностных лиц пограничных органов документов, удостоверяющих личность, содержащих установочные данные в электронном виде (полученные с использованием средств сканирования или фотографирования).</w:t>
      </w:r>
    </w:p>
    <w:p w14:paraId="19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Сформулированы требования к размерам и массе судов, хранение которых допускается на воде:</w:t>
      </w:r>
    </w:p>
    <w:p w14:paraId="1A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Используемых в море, массой более 500 кг, или длина которых более 10 метров - с уведомлением пограничного органа по месту использования маломерного судна (ранее - которые по своей массе и или размеру не могут быть подняты на берег.)</w:t>
      </w:r>
    </w:p>
    <w:p w14:paraId="1B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смене пристани, причала, другого пункта базирования предоставляется до фактической смены пункта базирования.</w:t>
      </w:r>
    </w:p>
    <w:p w14:paraId="1C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 порядок действий в случае невозможности возвращения МПС в установленное время.</w:t>
      </w:r>
    </w:p>
    <w:p w14:paraId="1D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на МПС исправных и включенных технических средств контроля разрешено подавать уведомление о выходе не позднее 1 часа.</w:t>
      </w:r>
    </w:p>
    <w:p w14:paraId="1E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Пребывание маломерных судов разрешается в любое время суток в море «в период участия в официальных спортивных соревнованиях по парусному спорту в случаях, когда расписанием соревнований предусмотрены ночные переходы (гонки), по согласованию с пограничным органом.</w:t>
      </w:r>
    </w:p>
    <w:p w14:paraId="1F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Согласование с пограничным органом пребывания МПС российской части вод так же может осуществляться по обращению организаторов официальных спортивных соревнований по парусному спорту.</w:t>
      </w:r>
    </w:p>
    <w:p w14:paraId="20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 перечень организаций, осуществляющих передачу в пограничные органы информации о местоположении маломерных судов в российской части вод, также включены:</w:t>
      </w:r>
    </w:p>
    <w:p w14:paraId="21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ФГБУ «Центр системы мониторинга рыболовства и связи» и его филиалы;</w:t>
      </w:r>
    </w:p>
    <w:p w14:paraId="22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 мониторинга для сбора и обработки информации о местоположении российских морских и смешанного река-море) плавания судов.</w:t>
      </w:r>
    </w:p>
    <w:p w14:paraId="23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Обязанности лиц управляющими МПС дополнены:</w:t>
      </w:r>
    </w:p>
    <w:p w14:paraId="24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нести непрерывную радиовахту (при наличии средств радиосвязи) на согласованной с пограничными органами частоте радиообмена, определяемой при подаче уведомления о выходе, и отвечать на запросы пограничных органов;</w:t>
      </w:r>
    </w:p>
    <w:p w14:paraId="25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-останавливать МПС и проставлять его для осмотра по требованию должностных лиц пограничных органов, в том числе при получении предупредительных команд (сигналов) об остановке судна, опубликованных в «Извещениях мореплавателям».</w:t>
      </w:r>
      <w:r>
        <w:rPr>
          <w:rFonts w:ascii="Times New Roman" w:hAnsi="Times New Roman"/>
          <w:sz w:val="24"/>
        </w:rPr>
        <w:drawing>
          <wp:inline>
            <wp:extent cx="3175" cy="1524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3175" cy="15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6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им запрещено заходить в запретные для плавания или временно опасные для плавания районы.</w:t>
      </w:r>
    </w:p>
    <w:p w14:paraId="27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 находящимся на маломерных судах (средствах) запрещается запускать беспилотные воздушные суда и безэкипажные суда в направлении государственной границы или линии разграничения морских пространств с сопредельным государством.</w:t>
      </w:r>
    </w:p>
    <w:p w14:paraId="28000000">
      <w:pPr>
        <w:pStyle w:val="Style_4"/>
        <w:spacing w:after="0" w:before="0" w:line="240" w:lineRule="auto"/>
        <w:ind/>
        <w:jc w:val="both"/>
        <w:rPr>
          <w:b w:val="1"/>
        </w:rPr>
      </w:pPr>
    </w:p>
    <w:p w14:paraId="29000000">
      <w:pPr>
        <w:pStyle w:val="Style_4"/>
        <w:spacing w:after="0" w:before="0" w:line="240" w:lineRule="auto"/>
        <w:ind/>
        <w:jc w:val="both"/>
        <w:rPr>
          <w:b w:val="1"/>
        </w:rPr>
      </w:pPr>
      <w:r>
        <w:rPr>
          <w:b w:val="1"/>
          <w:sz w:val="30"/>
        </w:rPr>
        <w:t>В отношении Правил промысловой, исследовательской, изыскательской и иной деятельности</w:t>
      </w:r>
    </w:p>
    <w:p w14:paraId="2A000000">
      <w:pPr>
        <w:pStyle w:val="Style_4"/>
        <w:spacing w:after="0" w:before="0" w:line="240" w:lineRule="auto"/>
        <w:ind/>
        <w:jc w:val="both"/>
      </w:pPr>
    </w:p>
    <w:p w14:paraId="2B000000">
      <w:pPr>
        <w:pStyle w:val="Style_4"/>
        <w:spacing w:after="0" w:before="0" w:line="240" w:lineRule="auto"/>
        <w:ind/>
        <w:jc w:val="both"/>
      </w:pPr>
      <w:r>
        <w:t>Уведомление об осуществлении промысловой, исследовательской, изыскательской и иной деятельности может быть направлено (передано) посредством факсимильной (при наличии), электронной почты (при наличии), телефонной связи или радиосвязи либо вручено при личном обращении в пограничный орган или подразделение пограничного органа.</w:t>
      </w:r>
    </w:p>
    <w:p w14:paraId="2C000000">
      <w:pPr>
        <w:pStyle w:val="Style_4"/>
        <w:spacing w:after="0" w:before="0" w:line="240" w:lineRule="auto"/>
        <w:ind/>
        <w:jc w:val="both"/>
      </w:pPr>
      <w:r>
        <w:t xml:space="preserve">Также внесены изменения в рекомендуемые образцы Уведомлений о </w:t>
      </w:r>
      <w:r>
        <w:drawing>
          <wp:inline>
            <wp:extent cx="33655" cy="2159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33655" cy="21590"/>
                    </a:xfrm>
                    <a:prstGeom prst="rect"/>
                  </pic:spPr>
                </pic:pic>
              </a:graphicData>
            </a:graphic>
          </wp:inline>
        </w:drawing>
      </w:r>
      <w:r>
        <w:t>постановке на учет, о смене пристани, причала, об осуществлении промысловой деятельности...</w:t>
      </w:r>
    </w:p>
    <w:p w14:paraId="2D000000">
      <w:pPr>
        <w:pStyle w:val="Style_4"/>
        <w:spacing w:after="0" w:before="0" w:line="240" w:lineRule="auto"/>
        <w:ind/>
        <w:jc w:val="both"/>
      </w:pPr>
      <w:r>
        <w:drawing>
          <wp:inline>
            <wp:extent cx="12065" cy="12065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2065" cy="12065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Указанный нормативно-правовой акт имеется в свободном доступе в сети «Интернет».</w:t>
      </w:r>
    </w:p>
    <w:p w14:paraId="2E000000">
      <w:pPr>
        <w:ind/>
        <w:jc w:val="both"/>
        <w:rPr>
          <w:sz w:val="26"/>
        </w:rPr>
      </w:pPr>
    </w:p>
    <w:p w14:paraId="2F000000">
      <w:pPr>
        <w:ind/>
        <w:jc w:val="both"/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30000000">
            <w:pPr>
              <w:pStyle w:val="Style_3"/>
            </w:pPr>
            <w:r>
              <w:rPr>
                <w:sz w:val="20"/>
              </w:rPr>
              <w:t>Информационный бюллетень № 29 от 26.09.2024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31000000">
      <w:pPr>
        <w:pStyle w:val="Style_3"/>
        <w:spacing w:after="0"/>
        <w:ind/>
      </w:pPr>
    </w:p>
    <w:p w14:paraId="32000000"/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No Spacing"/>
    <w:link w:val="Style_9_ch"/>
    <w:rPr>
      <w:rFonts w:ascii="Calibri" w:hAnsi="Calibri"/>
      <w:sz w:val="22"/>
    </w:rPr>
  </w:style>
  <w:style w:styleId="Style_9_ch" w:type="character">
    <w:name w:val="No Spacing"/>
    <w:link w:val="Style_9"/>
    <w:rPr>
      <w:rFonts w:ascii="Calibri" w:hAnsi="Calibri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  <w:rPr>
      <w:sz w:val="20"/>
    </w:rPr>
  </w:style>
  <w:style w:styleId="Style_11_ch" w:type="character">
    <w:name w:val="List Paragraph"/>
    <w:basedOn w:val="Style_4_ch"/>
    <w:link w:val="Style_11"/>
    <w:rPr>
      <w:sz w:val="20"/>
    </w:rPr>
  </w:style>
  <w:style w:styleId="Style_12" w:type="paragraph">
    <w:name w:val="Абзац списка"/>
    <w:basedOn w:val="Style_4"/>
    <w:link w:val="Style_12_ch"/>
    <w:pPr>
      <w:ind w:firstLine="567" w:left="720"/>
      <w:jc w:val="both"/>
    </w:pPr>
    <w:rPr>
      <w:rFonts w:ascii="Arial" w:hAnsi="Arial"/>
    </w:rPr>
  </w:style>
  <w:style w:styleId="Style_12_ch" w:type="character">
    <w:name w:val="Абзац списка"/>
    <w:basedOn w:val="Style_4_ch"/>
    <w:link w:val="Style_12"/>
    <w:rPr>
      <w:rFonts w:ascii="Arial" w:hAnsi="Arial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Без интервала"/>
    <w:link w:val="Style_15_ch"/>
    <w:rPr>
      <w:rFonts w:ascii="Calibri" w:hAnsi="Calibri"/>
      <w:sz w:val="22"/>
    </w:rPr>
  </w:style>
  <w:style w:styleId="Style_15_ch" w:type="character">
    <w:name w:val="Без интервала"/>
    <w:link w:val="Style_15"/>
    <w:rPr>
      <w:rFonts w:ascii="Calibri" w:hAnsi="Calibri"/>
      <w:sz w:val="22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Emphasis"/>
    <w:basedOn w:val="Style_18"/>
    <w:link w:val="Style_17_ch"/>
    <w:rPr>
      <w:i w:val="1"/>
    </w:rPr>
  </w:style>
  <w:style w:styleId="Style_17_ch" w:type="character">
    <w:name w:val="Emphasis"/>
    <w:basedOn w:val="Style_18_ch"/>
    <w:link w:val="Style_17"/>
    <w:rPr>
      <w:i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none"/>
    </w:rPr>
  </w:style>
  <w:style w:styleId="Style_20_ch" w:type="character">
    <w:name w:val="Hyperlink"/>
    <w:link w:val="Style_20"/>
    <w:rPr>
      <w:color w:val="0000FF"/>
      <w:u w:val="non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Calibri" w:hAnsi="Calibri"/>
      <w:b w:val="1"/>
      <w:sz w:val="22"/>
    </w:rPr>
  </w:style>
  <w:style w:styleId="Style_25_ch" w:type="character">
    <w:name w:val="ConsPlusTitle"/>
    <w:link w:val="Style_25"/>
    <w:rPr>
      <w:rFonts w:ascii="Calibri" w:hAnsi="Calibri"/>
      <w:b w:val="1"/>
      <w:sz w:val="22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S_Обычный жирный"/>
    <w:basedOn w:val="Style_4"/>
    <w:link w:val="Style_29_ch"/>
    <w:pPr>
      <w:spacing w:line="276" w:lineRule="auto"/>
      <w:ind w:firstLine="567" w:left="0"/>
      <w:jc w:val="both"/>
    </w:pPr>
  </w:style>
  <w:style w:styleId="Style_29_ch" w:type="character">
    <w:name w:val="S_Обычный жирный"/>
    <w:basedOn w:val="Style_4_ch"/>
    <w:link w:val="Style_29"/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.xml" Type="http://schemas.openxmlformats.org/officeDocument/2006/relationships/styles"/>
  <Relationship Id="rId11" Target="fontTable.xml" Type="http://schemas.openxmlformats.org/officeDocument/2006/relationships/fontTable"/>
  <Relationship Id="rId10" Target="media/9.jpeg" Type="http://schemas.openxmlformats.org/officeDocument/2006/relationships/image"/>
  <Relationship Id="rId15" Target="webSettings.xml" Type="http://schemas.openxmlformats.org/officeDocument/2006/relationships/webSettings"/>
  <Relationship Id="rId9" Target="media/8.jpeg" Type="http://schemas.openxmlformats.org/officeDocument/2006/relationships/image"/>
  <Relationship Id="rId8" Target="media/7.jpeg" Type="http://schemas.openxmlformats.org/officeDocument/2006/relationships/image"/>
  <Relationship Id="rId7" Target="media/6.jpeg" Type="http://schemas.openxmlformats.org/officeDocument/2006/relationships/image"/>
  <Relationship Id="rId14" Target="stylesWithEffects.xml" Type="http://schemas.microsoft.com/office/2007/relationships/stylesWithEffects"/>
  <Relationship Id="rId6" Target="media/5.jpeg" Type="http://schemas.openxmlformats.org/officeDocument/2006/relationships/image"/>
  <Relationship Id="rId5" Target="media/4.jpeg" Type="http://schemas.openxmlformats.org/officeDocument/2006/relationships/image"/>
  <Relationship Id="rId16" Target="theme/theme1.xml" Type="http://schemas.openxmlformats.org/officeDocument/2006/relationships/theme"/>
  <Relationship Id="rId4" Target="media/3.jpeg" Type="http://schemas.openxmlformats.org/officeDocument/2006/relationships/image"/>
  <Relationship Id="rId12" Target="settings.xml" Type="http://schemas.openxmlformats.org/officeDocument/2006/relationships/settings"/>
  <Relationship Id="rId3" Target="media/2.jpeg" Type="http://schemas.openxmlformats.org/officeDocument/2006/relationships/image"/>
  <Relationship Id="rId2" Target="media/1.e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2024-09-26T08:32:29Z</dcterms:modified>
</cp:coreProperties>
</file>